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26D9" w:rsidRDefault="00F126D9" w:rsidP="00F126D9">
      <w:pPr>
        <w:pStyle w:val="Cmsor1"/>
        <w:jc w:val="center"/>
      </w:pPr>
      <w:bookmarkStart w:id="0" w:name="_GoBack"/>
      <w:bookmarkEnd w:id="0"/>
      <w:r>
        <w:t xml:space="preserve">A </w:t>
      </w:r>
      <w:proofErr w:type="spellStart"/>
      <w:r>
        <w:t>gender</w:t>
      </w:r>
      <w:proofErr w:type="spellEnd"/>
      <w:r>
        <w:t xml:space="preserve"> mint társadalmi struktúra</w:t>
      </w:r>
    </w:p>
    <w:p w:rsidR="00F126D9" w:rsidRDefault="00F126D9" w:rsidP="008B405F">
      <w:pPr>
        <w:rPr>
          <w:sz w:val="24"/>
          <w:szCs w:val="24"/>
        </w:rPr>
      </w:pPr>
    </w:p>
    <w:p w:rsidR="008B405F" w:rsidRPr="008B405F" w:rsidRDefault="008B405F" w:rsidP="008B405F">
      <w:pPr>
        <w:rPr>
          <w:sz w:val="24"/>
          <w:szCs w:val="24"/>
        </w:rPr>
      </w:pPr>
      <w:proofErr w:type="spellStart"/>
      <w:r w:rsidRPr="008B405F">
        <w:rPr>
          <w:sz w:val="24"/>
          <w:szCs w:val="24"/>
        </w:rPr>
        <w:t>Gender</w:t>
      </w:r>
      <w:proofErr w:type="spellEnd"/>
      <w:r w:rsidRPr="008B405F">
        <w:rPr>
          <w:sz w:val="24"/>
          <w:szCs w:val="24"/>
        </w:rPr>
        <w:t xml:space="preserve"> mint társadalmi struktúra – így nevezi </w:t>
      </w:r>
      <w:hyperlink r:id="rId5" w:history="1">
        <w:r w:rsidRPr="00082081">
          <w:rPr>
            <w:rStyle w:val="Finomhivatkozs"/>
          </w:rPr>
          <w:t xml:space="preserve">Barbara J. </w:t>
        </w:r>
        <w:proofErr w:type="spellStart"/>
        <w:r w:rsidRPr="00082081">
          <w:rPr>
            <w:rStyle w:val="Finomhivatkozs"/>
          </w:rPr>
          <w:t>Risman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Where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the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Millennials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Will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Take</w:t>
        </w:r>
        <w:proofErr w:type="spellEnd"/>
        <w:r w:rsidRPr="00082081">
          <w:rPr>
            <w:rStyle w:val="Finomhivatkozs"/>
          </w:rPr>
          <w:t xml:space="preserve"> </w:t>
        </w:r>
        <w:proofErr w:type="spellStart"/>
        <w:r w:rsidRPr="00082081">
          <w:rPr>
            <w:rStyle w:val="Finomhivatkozs"/>
          </w:rPr>
          <w:t>Us</w:t>
        </w:r>
        <w:proofErr w:type="spellEnd"/>
      </w:hyperlink>
      <w:r w:rsidRPr="00F126D9">
        <w:rPr>
          <w:i/>
          <w:sz w:val="24"/>
          <w:szCs w:val="24"/>
        </w:rPr>
        <w:t xml:space="preserve"> </w:t>
      </w:r>
      <w:r w:rsidRPr="008B405F">
        <w:rPr>
          <w:sz w:val="24"/>
          <w:szCs w:val="24"/>
        </w:rPr>
        <w:t>című könyvében azt a modellt, amely</w:t>
      </w:r>
      <w:r w:rsidR="001E1328">
        <w:rPr>
          <w:sz w:val="24"/>
          <w:szCs w:val="24"/>
        </w:rPr>
        <w:t>et</w:t>
      </w:r>
      <w:r w:rsidRPr="008B405F">
        <w:rPr>
          <w:sz w:val="24"/>
          <w:szCs w:val="24"/>
        </w:rPr>
        <w:t xml:space="preserve"> az amerikai Y-generáció körében végzett empirikus kutatása elméleti és értelmezési kereteként dolgozott ki. Arra az egyszerű kérdésre keresett választ, hogy mit kezdenek e generáció tagjai a </w:t>
      </w:r>
      <w:proofErr w:type="spellStart"/>
      <w:r w:rsidRPr="008B405F">
        <w:rPr>
          <w:sz w:val="24"/>
          <w:szCs w:val="24"/>
        </w:rPr>
        <w:t>gender</w:t>
      </w:r>
      <w:r w:rsidR="001E1328">
        <w:rPr>
          <w:sz w:val="24"/>
          <w:szCs w:val="24"/>
        </w:rPr>
        <w:t>rel</w:t>
      </w:r>
      <w:proofErr w:type="spellEnd"/>
      <w:r w:rsidR="001E1328">
        <w:rPr>
          <w:sz w:val="24"/>
          <w:szCs w:val="24"/>
        </w:rPr>
        <w:t>.</w:t>
      </w:r>
    </w:p>
    <w:p w:rsidR="008B405F" w:rsidRPr="008B405F" w:rsidRDefault="008B405F" w:rsidP="008B405F">
      <w:pPr>
        <w:rPr>
          <w:sz w:val="24"/>
          <w:szCs w:val="24"/>
        </w:rPr>
      </w:pPr>
      <w:r w:rsidRPr="008B405F">
        <w:rPr>
          <w:sz w:val="24"/>
          <w:szCs w:val="24"/>
        </w:rPr>
        <w:t xml:space="preserve">Természetesen nem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az első, aki a </w:t>
      </w:r>
      <w:proofErr w:type="spellStart"/>
      <w:r w:rsidRPr="008B405F">
        <w:rPr>
          <w:sz w:val="24"/>
          <w:szCs w:val="24"/>
        </w:rPr>
        <w:t>gendert</w:t>
      </w:r>
      <w:proofErr w:type="spellEnd"/>
      <w:r w:rsidRPr="008B405F">
        <w:rPr>
          <w:sz w:val="24"/>
          <w:szCs w:val="24"/>
        </w:rPr>
        <w:t xml:space="preserve"> társadalmi struktúraként fogja fel, de az ilyen elméletek mögötti struktúraelméletek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szerint általában </w:t>
      </w:r>
      <w:proofErr w:type="spellStart"/>
      <w:r w:rsidRPr="008B405F">
        <w:rPr>
          <w:sz w:val="24"/>
          <w:szCs w:val="24"/>
        </w:rPr>
        <w:t>gendersemlegesek</w:t>
      </w:r>
      <w:proofErr w:type="spellEnd"/>
      <w:r w:rsidRPr="008B405F">
        <w:rPr>
          <w:sz w:val="24"/>
          <w:szCs w:val="24"/>
        </w:rPr>
        <w:t>, minthogy azt állítják: ugyanazon strukturális feltételek hasonló viselkedést eredményeznek. Ám ha</w:t>
      </w:r>
      <w:r w:rsidR="00595825">
        <w:rPr>
          <w:sz w:val="24"/>
          <w:szCs w:val="24"/>
        </w:rPr>
        <w:t>, egyrészt,</w:t>
      </w:r>
      <w:r w:rsidRPr="008B405F">
        <w:rPr>
          <w:sz w:val="24"/>
          <w:szCs w:val="24"/>
        </w:rPr>
        <w:t xml:space="preserve"> a nemi egyenlőtlenségért a struktúrák ilyen módon lennének a felelősek, akkor nem lenne más dolgunk, mint megfelelően újraírni a szerepeket, a férfiak és nők közötti egyenlőség pedig ripsz-ropsz valósággá válna. De ez nem működik, mert – állítja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– a </w:t>
      </w:r>
      <w:proofErr w:type="spellStart"/>
      <w:r w:rsidRPr="008B405F">
        <w:rPr>
          <w:sz w:val="24"/>
          <w:szCs w:val="24"/>
        </w:rPr>
        <w:t>genderstruktú</w:t>
      </w:r>
      <w:r w:rsidR="00595825">
        <w:rPr>
          <w:sz w:val="24"/>
          <w:szCs w:val="24"/>
        </w:rPr>
        <w:t>ra</w:t>
      </w:r>
      <w:proofErr w:type="spellEnd"/>
      <w:r w:rsidR="00595825">
        <w:rPr>
          <w:sz w:val="24"/>
          <w:szCs w:val="24"/>
        </w:rPr>
        <w:t xml:space="preserve"> hatalma ennél jóval mélyebben ható</w:t>
      </w:r>
      <w:r w:rsidRPr="008B405F">
        <w:rPr>
          <w:sz w:val="24"/>
          <w:szCs w:val="24"/>
        </w:rPr>
        <w:t xml:space="preserve"> és szélesebb körű. Másrészt a szóban forgó struktúraelméletek azt implikálják: ha a nők a férfiak társadalmi pozíciójába kerülnek, akkor hasonlóan fognak viselkedni, mint a férfiak, és fordítva. Például a gyerekéről egyedül gondoskodó férfi nagyon úgy, mint a gyerekéről egyedül gondoskodó nő, vagy a női politikai vezető nagyon úgy, mint a férfi politikai vezető. Csakhogy – mutatják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korábbi kutatásai – nem ezt tapasztaljuk. A </w:t>
      </w:r>
      <w:proofErr w:type="spellStart"/>
      <w:r w:rsidRPr="008B405F">
        <w:rPr>
          <w:sz w:val="24"/>
          <w:szCs w:val="24"/>
        </w:rPr>
        <w:t>genderstruktúra</w:t>
      </w:r>
      <w:proofErr w:type="spellEnd"/>
      <w:r w:rsidRPr="008B405F">
        <w:rPr>
          <w:sz w:val="24"/>
          <w:szCs w:val="24"/>
        </w:rPr>
        <w:t xml:space="preserve"> hatalma ennél jóval nagyobb. Hogy a </w:t>
      </w:r>
      <w:proofErr w:type="spellStart"/>
      <w:r w:rsidRPr="008B405F">
        <w:rPr>
          <w:sz w:val="24"/>
          <w:szCs w:val="24"/>
        </w:rPr>
        <w:t>genderstruktúra</w:t>
      </w:r>
      <w:proofErr w:type="spellEnd"/>
      <w:r w:rsidRPr="008B405F">
        <w:rPr>
          <w:sz w:val="24"/>
          <w:szCs w:val="24"/>
        </w:rPr>
        <w:t xml:space="preserve"> erejét-hatalmát felmérjük,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szerint túl kell lépnünk az olyan struktúraelméleteken, amelyek a struktúrát individuumokat determináló, kényszerítő erőként fogják fel. Kétségtelen, hogy aki társadalmi struktúráról beszél, az osztja a struktúraelméletek közös előfeltevését, miszerint a társadalmi struktúra túl van egyéni vágyakon és szándékon. Nem kivétel ez alól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sem. Ám úgy véli, ha a társadalmi struktúrát az individuális késztetések ellenfogalmaként, kényszerként határozzuk meg, akkor nem vesszük elég komolyan erejét s hatalmát.</w:t>
      </w:r>
    </w:p>
    <w:p w:rsidR="008B405F" w:rsidRPr="008B405F" w:rsidRDefault="008B405F" w:rsidP="008B405F">
      <w:pPr>
        <w:rPr>
          <w:sz w:val="24"/>
          <w:szCs w:val="24"/>
        </w:rPr>
      </w:pPr>
      <w:r w:rsidRPr="008B405F">
        <w:rPr>
          <w:sz w:val="24"/>
          <w:szCs w:val="24"/>
        </w:rPr>
        <w:t xml:space="preserve">A </w:t>
      </w:r>
      <w:proofErr w:type="spellStart"/>
      <w:r w:rsidRPr="008B405F">
        <w:rPr>
          <w:sz w:val="24"/>
          <w:szCs w:val="24"/>
        </w:rPr>
        <w:t>gender</w:t>
      </w:r>
      <w:proofErr w:type="spellEnd"/>
      <w:r w:rsidRPr="008B405F">
        <w:rPr>
          <w:sz w:val="24"/>
          <w:szCs w:val="24"/>
        </w:rPr>
        <w:t xml:space="preserve"> mint társadalmi struktúra </w:t>
      </w:r>
      <w:proofErr w:type="spellStart"/>
      <w:r w:rsidRPr="008B405F">
        <w:rPr>
          <w:sz w:val="24"/>
          <w:szCs w:val="24"/>
        </w:rPr>
        <w:t>rismani</w:t>
      </w:r>
      <w:proofErr w:type="spellEnd"/>
      <w:r w:rsidRPr="008B405F">
        <w:rPr>
          <w:sz w:val="24"/>
          <w:szCs w:val="24"/>
        </w:rPr>
        <w:t xml:space="preserve"> elmélete Anthony </w:t>
      </w:r>
      <w:proofErr w:type="spellStart"/>
      <w:r w:rsidRPr="008B405F">
        <w:rPr>
          <w:sz w:val="24"/>
          <w:szCs w:val="24"/>
        </w:rPr>
        <w:t>Giddens</w:t>
      </w:r>
      <w:proofErr w:type="spellEnd"/>
      <w:r w:rsidRPr="008B405F">
        <w:rPr>
          <w:sz w:val="24"/>
          <w:szCs w:val="24"/>
        </w:rPr>
        <w:t xml:space="preserve"> struktúraelméletéhez kapcsolódik, mely szerint a társadalmi struktúra hat az egyénekre (formálja őket), ám az egyének is hatnak a társadalmi struktúrára (formálják azt); a társadalmi struktúrák a cselekvések termékei, ám egyszersmind befolyásolják is a cselekvéseket. A társadalmi struktúra tehát, érvel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>, több mint m</w:t>
      </w:r>
      <w:r w:rsidR="00595825">
        <w:rPr>
          <w:sz w:val="24"/>
          <w:szCs w:val="24"/>
        </w:rPr>
        <w:t xml:space="preserve">ateriális, objektív </w:t>
      </w:r>
      <w:r w:rsidRPr="008B405F">
        <w:rPr>
          <w:sz w:val="24"/>
          <w:szCs w:val="24"/>
        </w:rPr>
        <w:t xml:space="preserve">kényszerítő erő, ami az embereket/cselekvőket passzivitásra ítéli; a cselekvés pedig több mint nem strukturált, szubjektív, individuális, random megnyilvánulás, ami abszolút szabadságot implikál. Az </w:t>
      </w:r>
      <w:proofErr w:type="spellStart"/>
      <w:r w:rsidRPr="008B405F">
        <w:rPr>
          <w:sz w:val="24"/>
          <w:szCs w:val="24"/>
        </w:rPr>
        <w:t>ágencia</w:t>
      </w:r>
      <w:proofErr w:type="spellEnd"/>
      <w:r w:rsidRPr="008B405F">
        <w:rPr>
          <w:sz w:val="24"/>
          <w:szCs w:val="24"/>
        </w:rPr>
        <w:t xml:space="preserve"> – fogalmaz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Giddensszel</w:t>
      </w:r>
      <w:proofErr w:type="spellEnd"/>
      <w:r w:rsidRPr="008B405F">
        <w:rPr>
          <w:sz w:val="24"/>
          <w:szCs w:val="24"/>
        </w:rPr>
        <w:t xml:space="preserve"> összhangban – struktúrák függvénye, a struktúrák viszont az ágensek produktumai. Vagyis a társadalmi struktúrák és cselekvések kölcsönösen hatnak egymásra. A feladat az, hogy megtaláljuk azokat a mechanizmusokat, amelyek választ adnak a kérdésre: a társadalmi struktúra által befolyásolt egyéni megnyilvánulások mikor, miért és hogyan változtatják meg, illetve mikor, miért és hogyan termelik újra vagy erősí</w:t>
      </w:r>
      <w:r w:rsidR="00595825">
        <w:rPr>
          <w:sz w:val="24"/>
          <w:szCs w:val="24"/>
        </w:rPr>
        <w:t>tik meg a társadalmi struktúrát?</w:t>
      </w:r>
    </w:p>
    <w:p w:rsidR="008B405F" w:rsidRPr="008B405F" w:rsidRDefault="008B405F" w:rsidP="008B405F">
      <w:pPr>
        <w:rPr>
          <w:sz w:val="24"/>
          <w:szCs w:val="24"/>
        </w:rPr>
      </w:pPr>
      <w:r w:rsidRPr="008B405F">
        <w:rPr>
          <w:sz w:val="24"/>
          <w:szCs w:val="24"/>
        </w:rPr>
        <w:t xml:space="preserve">A </w:t>
      </w:r>
      <w:proofErr w:type="spellStart"/>
      <w:r w:rsidRPr="008B405F">
        <w:rPr>
          <w:sz w:val="24"/>
          <w:szCs w:val="24"/>
        </w:rPr>
        <w:t>genderstruktúra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szerint – ez következik a mondottakból – egyrészt több mint személyes (szabadon választott és kialakított-fölépített) identitás, másrészt több mint (determináló) kényszerítő erő. Hogy megragadja ezt a többletet,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egy </w:t>
      </w:r>
      <w:proofErr w:type="spellStart"/>
      <w:r w:rsidRPr="008B405F">
        <w:rPr>
          <w:sz w:val="24"/>
          <w:szCs w:val="24"/>
        </w:rPr>
        <w:t>genderelméleti</w:t>
      </w:r>
      <w:proofErr w:type="spellEnd"/>
      <w:r w:rsidRPr="008B405F">
        <w:rPr>
          <w:sz w:val="24"/>
          <w:szCs w:val="24"/>
        </w:rPr>
        <w:t xml:space="preserve"> </w:t>
      </w:r>
      <w:r w:rsidRPr="008B405F">
        <w:rPr>
          <w:sz w:val="24"/>
          <w:szCs w:val="24"/>
        </w:rPr>
        <w:lastRenderedPageBreak/>
        <w:t xml:space="preserve">„utazást” tesz. Ennek eredménye a </w:t>
      </w:r>
      <w:proofErr w:type="spellStart"/>
      <w:r w:rsidRPr="008B405F">
        <w:rPr>
          <w:sz w:val="24"/>
          <w:szCs w:val="24"/>
        </w:rPr>
        <w:t>gender</w:t>
      </w:r>
      <w:proofErr w:type="spellEnd"/>
      <w:r w:rsidRPr="008B405F">
        <w:rPr>
          <w:sz w:val="24"/>
          <w:szCs w:val="24"/>
        </w:rPr>
        <w:t xml:space="preserve"> mint társadalmi struktúra elmélete, amely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szerint csak „egy tégla a falban” – „</w:t>
      </w:r>
      <w:proofErr w:type="spellStart"/>
      <w:r w:rsidRPr="008B405F">
        <w:rPr>
          <w:sz w:val="24"/>
          <w:szCs w:val="24"/>
        </w:rPr>
        <w:t>All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in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all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it's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just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another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brick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in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the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wall</w:t>
      </w:r>
      <w:proofErr w:type="spellEnd"/>
      <w:r w:rsidRPr="008B405F">
        <w:rPr>
          <w:sz w:val="24"/>
          <w:szCs w:val="24"/>
        </w:rPr>
        <w:t>” (</w:t>
      </w:r>
      <w:proofErr w:type="spellStart"/>
      <w:r w:rsidRPr="008B405F">
        <w:rPr>
          <w:sz w:val="24"/>
          <w:szCs w:val="24"/>
        </w:rPr>
        <w:t>Pinkfloyd</w:t>
      </w:r>
      <w:proofErr w:type="spellEnd"/>
      <w:r w:rsidRPr="008B405F">
        <w:rPr>
          <w:sz w:val="24"/>
          <w:szCs w:val="24"/>
        </w:rPr>
        <w:t xml:space="preserve">), mondhatnánk. Éspedig abban a falban, amelyet a feminista tudósok </w:t>
      </w:r>
      <w:proofErr w:type="spellStart"/>
      <w:r w:rsidRPr="008B405F">
        <w:rPr>
          <w:sz w:val="24"/>
          <w:szCs w:val="24"/>
        </w:rPr>
        <w:t>genderkutatást</w:t>
      </w:r>
      <w:proofErr w:type="spellEnd"/>
      <w:r w:rsidRPr="008B405F">
        <w:rPr>
          <w:sz w:val="24"/>
          <w:szCs w:val="24"/>
        </w:rPr>
        <w:t xml:space="preserve"> elindító első generációja és az ő nyomdokain haladó azon tudósok húztak fel, akik egy </w:t>
      </w:r>
      <w:proofErr w:type="spellStart"/>
      <w:r w:rsidRPr="008B405F">
        <w:rPr>
          <w:sz w:val="24"/>
          <w:szCs w:val="24"/>
        </w:rPr>
        <w:t>multidimenzionális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genderelmélet</w:t>
      </w:r>
      <w:proofErr w:type="spellEnd"/>
      <w:r w:rsidRPr="008B405F">
        <w:rPr>
          <w:sz w:val="24"/>
          <w:szCs w:val="24"/>
        </w:rPr>
        <w:t xml:space="preserve"> megalkotására használhatók. Rájuk támaszkodva, az ő vállukon állva alkotja meg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a </w:t>
      </w:r>
      <w:proofErr w:type="spellStart"/>
      <w:r w:rsidRPr="008B405F">
        <w:rPr>
          <w:sz w:val="24"/>
          <w:szCs w:val="24"/>
        </w:rPr>
        <w:t>gender</w:t>
      </w:r>
      <w:proofErr w:type="spellEnd"/>
      <w:r w:rsidRPr="008B405F">
        <w:rPr>
          <w:sz w:val="24"/>
          <w:szCs w:val="24"/>
        </w:rPr>
        <w:t xml:space="preserve"> mint társadalmi struktúra elméletét, avagy </w:t>
      </w:r>
      <w:proofErr w:type="spellStart"/>
      <w:r w:rsidRPr="008B405F">
        <w:rPr>
          <w:sz w:val="24"/>
          <w:szCs w:val="24"/>
        </w:rPr>
        <w:t>multidimenzionális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genderelméletét</w:t>
      </w:r>
      <w:proofErr w:type="spellEnd"/>
      <w:r w:rsidRPr="008B405F">
        <w:rPr>
          <w:sz w:val="24"/>
          <w:szCs w:val="24"/>
        </w:rPr>
        <w:t>.</w:t>
      </w:r>
    </w:p>
    <w:p w:rsidR="008B405F" w:rsidRPr="008B405F" w:rsidRDefault="008B405F" w:rsidP="008B405F">
      <w:pPr>
        <w:rPr>
          <w:sz w:val="24"/>
          <w:szCs w:val="24"/>
        </w:rPr>
      </w:pPr>
      <w:proofErr w:type="spellStart"/>
      <w:r w:rsidRPr="008B405F">
        <w:rPr>
          <w:sz w:val="24"/>
          <w:szCs w:val="24"/>
        </w:rPr>
        <w:t>Gender</w:t>
      </w:r>
      <w:proofErr w:type="spellEnd"/>
      <w:r w:rsidRPr="008B405F">
        <w:rPr>
          <w:sz w:val="24"/>
          <w:szCs w:val="24"/>
        </w:rPr>
        <w:t xml:space="preserve"> mint társadalmi struktúra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meghatározása szerint egy olyan összetett folyamat, amely individuális és makroszinten, valamint az interakciók szintjén zajlik egyszerre. E szintek mindegyike egyformán fontos, de kölcsön- vagy egymásra hatásuk is: az individuális én (individuális szint), a másokkal szembeni várakozások-elvárások (interakciós szint), valamint a kulturális ideológiák és társadalmi szervezetek, intézmények (makroszint) között rekurzív oksági viszony áll fenn. Mindegyik szinten tetten érhetőek bizonyos kulturális és materiális tényezők, amelyek kölcsönösen hatnak egymásra. Az </w:t>
      </w:r>
      <w:proofErr w:type="spellStart"/>
      <w:r w:rsidRPr="008B405F">
        <w:rPr>
          <w:sz w:val="24"/>
          <w:szCs w:val="24"/>
        </w:rPr>
        <w:t>előbbin</w:t>
      </w:r>
      <w:proofErr w:type="spellEnd"/>
      <w:r w:rsidRPr="008B405F">
        <w:rPr>
          <w:sz w:val="24"/>
          <w:szCs w:val="24"/>
        </w:rPr>
        <w:t xml:space="preserve">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azokat a jelentéseket érti, amelyeket a testeknek adunk, valamint a szervezeti szabályok és a mindennapi élet szabályainak legitimációját; az utóbbin pedig magukat a testek</w:t>
      </w:r>
      <w:r w:rsidR="00E06D82">
        <w:rPr>
          <w:sz w:val="24"/>
          <w:szCs w:val="24"/>
        </w:rPr>
        <w:t>et</w:t>
      </w:r>
      <w:r w:rsidRPr="008B405F">
        <w:rPr>
          <w:sz w:val="24"/>
          <w:szCs w:val="24"/>
        </w:rPr>
        <w:t>, valamint a fizikai jutalmak és kényszerek elosztását.</w:t>
      </w:r>
    </w:p>
    <w:p w:rsidR="008B405F" w:rsidRDefault="008B405F" w:rsidP="008B405F">
      <w:pPr>
        <w:rPr>
          <w:sz w:val="24"/>
          <w:szCs w:val="24"/>
        </w:rPr>
      </w:pPr>
      <w:r w:rsidRPr="008B405F">
        <w:rPr>
          <w:sz w:val="24"/>
          <w:szCs w:val="24"/>
        </w:rPr>
        <w:t xml:space="preserve">Hogy elkezdjük megérteni, milyen feltételek mellett és hogyan lesznek a testi különbségek nemi-társadalmi egyenlőtlenségekké, ahhoz mind a kulturális, mind a materiális tényezők működését, hatását és egymásra hatását fel kell tárnunk empirikusan mindhárom szinten, valamint e szintek közötti rekurzív oksági kapcsolatokat is. </w:t>
      </w:r>
      <w:proofErr w:type="spellStart"/>
      <w:r w:rsidRPr="008B405F">
        <w:rPr>
          <w:sz w:val="24"/>
          <w:szCs w:val="24"/>
        </w:rPr>
        <w:t>Risman</w:t>
      </w:r>
      <w:proofErr w:type="spellEnd"/>
      <w:r w:rsidRPr="008B405F">
        <w:rPr>
          <w:sz w:val="24"/>
          <w:szCs w:val="24"/>
        </w:rPr>
        <w:t xml:space="preserve"> életinterjús módszert alkalmazó kutatásának végső célja az, hogy választ tudjon adni két kérdésre: Az egyéni megnyilvánulás mikor és miért habitus, mikor és miért nem az, vagyis mikor és miért „csináljuk” nem tudatosan és mikor és miért „csináljuk” tudatosan a </w:t>
      </w:r>
      <w:proofErr w:type="spellStart"/>
      <w:r w:rsidRPr="008B405F">
        <w:rPr>
          <w:sz w:val="24"/>
          <w:szCs w:val="24"/>
        </w:rPr>
        <w:t>gendert</w:t>
      </w:r>
      <w:proofErr w:type="spellEnd"/>
      <w:r w:rsidRPr="008B405F">
        <w:rPr>
          <w:sz w:val="24"/>
          <w:szCs w:val="24"/>
        </w:rPr>
        <w:t xml:space="preserve">? Mikor „csináljuk” úgy a </w:t>
      </w:r>
      <w:proofErr w:type="spellStart"/>
      <w:r w:rsidRPr="008B405F">
        <w:rPr>
          <w:sz w:val="24"/>
          <w:szCs w:val="24"/>
        </w:rPr>
        <w:t>gendert</w:t>
      </w:r>
      <w:proofErr w:type="spellEnd"/>
      <w:r w:rsidRPr="008B405F">
        <w:rPr>
          <w:sz w:val="24"/>
          <w:szCs w:val="24"/>
        </w:rPr>
        <w:t>, hogy újrateremtjük a társadalmi-nemi egyenlőtlenségeket, és mikor úgy, hogy szembeszegülünk velük, lázadunk ellenük?</w:t>
      </w:r>
    </w:p>
    <w:p w:rsidR="00F126D9" w:rsidRPr="008B405F" w:rsidRDefault="00F126D9" w:rsidP="008B405F">
      <w:pPr>
        <w:rPr>
          <w:sz w:val="24"/>
          <w:szCs w:val="24"/>
        </w:rPr>
      </w:pPr>
    </w:p>
    <w:p w:rsidR="008B405F" w:rsidRPr="00F126D9" w:rsidRDefault="008B405F" w:rsidP="008B405F">
      <w:pPr>
        <w:rPr>
          <w:b/>
          <w:sz w:val="24"/>
          <w:szCs w:val="24"/>
        </w:rPr>
      </w:pPr>
      <w:r w:rsidRPr="00F126D9">
        <w:rPr>
          <w:b/>
          <w:sz w:val="24"/>
          <w:szCs w:val="24"/>
        </w:rPr>
        <w:t>Ajánlott olvasmányok:</w:t>
      </w:r>
    </w:p>
    <w:p w:rsidR="00F126D9" w:rsidRPr="00F126D9" w:rsidRDefault="00FC56EE" w:rsidP="00F126D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tgtFrame="_blank" w:history="1">
        <w:proofErr w:type="spellStart"/>
        <w:r w:rsidR="008B405F" w:rsidRPr="00F126D9">
          <w:rPr>
            <w:rStyle w:val="Ershivatkozs"/>
          </w:rPr>
          <w:t>Hines</w:t>
        </w:r>
        <w:proofErr w:type="spellEnd"/>
        <w:r w:rsidR="008B405F" w:rsidRPr="00F126D9">
          <w:rPr>
            <w:rStyle w:val="Ershivatkozs"/>
          </w:rPr>
          <w:t xml:space="preserve">, </w:t>
        </w:r>
        <w:proofErr w:type="spellStart"/>
        <w:r w:rsidR="008B405F" w:rsidRPr="00F126D9">
          <w:rPr>
            <w:rStyle w:val="Ershivatkozs"/>
          </w:rPr>
          <w:t>Sally</w:t>
        </w:r>
        <w:proofErr w:type="spellEnd"/>
        <w:r w:rsidR="008B405F" w:rsidRPr="00F126D9">
          <w:rPr>
            <w:rStyle w:val="Ershivatkozs"/>
          </w:rPr>
          <w:t xml:space="preserve">: Mi a </w:t>
        </w:r>
        <w:proofErr w:type="spellStart"/>
        <w:r w:rsidR="008B405F" w:rsidRPr="00F126D9">
          <w:rPr>
            <w:rStyle w:val="Ershivatkozs"/>
          </w:rPr>
          <w:t>gender</w:t>
        </w:r>
        <w:proofErr w:type="spellEnd"/>
        <w:r w:rsidR="008B405F" w:rsidRPr="00F126D9">
          <w:rPr>
            <w:rStyle w:val="Ershivatkozs"/>
          </w:rPr>
          <w:t>? Bevezetés a XXI. századhoz</w:t>
        </w:r>
        <w:r w:rsidR="00F126D9" w:rsidRPr="00F126D9">
          <w:rPr>
            <w:rStyle w:val="Ershivatkozs"/>
          </w:rPr>
          <w:t>.</w:t>
        </w:r>
      </w:hyperlink>
      <w:r w:rsidR="00F126D9" w:rsidRPr="00F126D9">
        <w:rPr>
          <w:rStyle w:val="Ershivatkozs"/>
        </w:rPr>
        <w:t xml:space="preserve"> (Könyvtárunkból kölcsönözhető.)</w:t>
      </w:r>
    </w:p>
    <w:p w:rsidR="008B405F" w:rsidRPr="00F126D9" w:rsidRDefault="00FC56EE" w:rsidP="00F126D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tgtFrame="_blank" w:history="1">
        <w:proofErr w:type="spellStart"/>
        <w:r w:rsidR="008B405F" w:rsidRPr="00F126D9">
          <w:rPr>
            <w:rStyle w:val="Ershivatkozs"/>
          </w:rPr>
          <w:t>Risman</w:t>
        </w:r>
        <w:proofErr w:type="spellEnd"/>
        <w:r w:rsidR="008B405F" w:rsidRPr="00F126D9">
          <w:rPr>
            <w:rStyle w:val="Ershivatkozs"/>
          </w:rPr>
          <w:t xml:space="preserve">, Barbara J.: </w:t>
        </w:r>
        <w:proofErr w:type="spellStart"/>
        <w:r w:rsidR="008B405F" w:rsidRPr="00F126D9">
          <w:rPr>
            <w:rStyle w:val="Ershivatkozs"/>
          </w:rPr>
          <w:t>Gender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Vertigo</w:t>
        </w:r>
        <w:proofErr w:type="spellEnd"/>
        <w:r w:rsidR="008B405F" w:rsidRPr="00F126D9">
          <w:rPr>
            <w:rStyle w:val="Ershivatkozs"/>
          </w:rPr>
          <w:t xml:space="preserve">: American </w:t>
        </w:r>
        <w:proofErr w:type="spellStart"/>
        <w:r w:rsidR="008B405F" w:rsidRPr="00F126D9">
          <w:rPr>
            <w:rStyle w:val="Ershivatkozs"/>
          </w:rPr>
          <w:t>Families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in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Transition</w:t>
        </w:r>
        <w:proofErr w:type="spellEnd"/>
        <w:r w:rsidR="00F126D9" w:rsidRPr="00F126D9">
          <w:rPr>
            <w:rStyle w:val="Ershivatkozs"/>
          </w:rPr>
          <w:t>.</w:t>
        </w:r>
      </w:hyperlink>
      <w:r w:rsidR="00F126D9" w:rsidRPr="00F126D9">
        <w:rPr>
          <w:rStyle w:val="Ershivatkozs"/>
        </w:rPr>
        <w:t xml:space="preserve"> (Könyvtárunkból kölcsönözhető.)</w:t>
      </w:r>
    </w:p>
    <w:p w:rsidR="00F126D9" w:rsidRPr="00F126D9" w:rsidRDefault="00FC56EE" w:rsidP="00F126D9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tgtFrame="_blank" w:history="1">
        <w:proofErr w:type="spellStart"/>
        <w:r w:rsidR="008B405F" w:rsidRPr="00F126D9">
          <w:rPr>
            <w:rStyle w:val="Ershivatkozs"/>
          </w:rPr>
          <w:t>Aikhenvald</w:t>
        </w:r>
        <w:proofErr w:type="spellEnd"/>
        <w:r w:rsidR="008B405F" w:rsidRPr="00F126D9">
          <w:rPr>
            <w:rStyle w:val="Ershivatkozs"/>
          </w:rPr>
          <w:t xml:space="preserve">, Alexandra Y.: </w:t>
        </w:r>
        <w:proofErr w:type="spellStart"/>
        <w:r w:rsidR="008B405F" w:rsidRPr="00F126D9">
          <w:rPr>
            <w:rStyle w:val="Ershivatkozs"/>
          </w:rPr>
          <w:t>How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Gender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Shapes</w:t>
        </w:r>
        <w:proofErr w:type="spellEnd"/>
        <w:r w:rsidR="008B405F" w:rsidRPr="00F126D9">
          <w:rPr>
            <w:rStyle w:val="Ershivatkozs"/>
          </w:rPr>
          <w:t xml:space="preserve"> </w:t>
        </w:r>
        <w:proofErr w:type="spellStart"/>
        <w:r w:rsidR="008B405F" w:rsidRPr="00F126D9">
          <w:rPr>
            <w:rStyle w:val="Ershivatkozs"/>
          </w:rPr>
          <w:t>the</w:t>
        </w:r>
        <w:proofErr w:type="spellEnd"/>
        <w:r w:rsidR="008B405F" w:rsidRPr="00F126D9">
          <w:rPr>
            <w:rStyle w:val="Ershivatkozs"/>
          </w:rPr>
          <w:t xml:space="preserve"> World</w:t>
        </w:r>
      </w:hyperlink>
      <w:r w:rsidR="00F126D9" w:rsidRPr="00F126D9">
        <w:rPr>
          <w:rStyle w:val="Ershivatkozs"/>
        </w:rPr>
        <w:t>. (Könyvtárunkból kölcsönözhető.)</w:t>
      </w:r>
    </w:p>
    <w:p w:rsidR="008B405F" w:rsidRPr="008B405F" w:rsidRDefault="008B405F" w:rsidP="008B405F">
      <w:pPr>
        <w:rPr>
          <w:sz w:val="24"/>
          <w:szCs w:val="24"/>
        </w:rPr>
      </w:pPr>
    </w:p>
    <w:sectPr w:rsidR="008B405F" w:rsidRPr="008B405F" w:rsidSect="00FC5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9351F"/>
    <w:multiLevelType w:val="hybridMultilevel"/>
    <w:tmpl w:val="29D2C3C0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8B405F"/>
    <w:rsid w:val="00082081"/>
    <w:rsid w:val="001E1328"/>
    <w:rsid w:val="00595825"/>
    <w:rsid w:val="008B405F"/>
    <w:rsid w:val="00CA0875"/>
    <w:rsid w:val="00E06D82"/>
    <w:rsid w:val="00F126D9"/>
    <w:rsid w:val="00FC5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FC56EE"/>
  </w:style>
  <w:style w:type="paragraph" w:styleId="Cmsor1">
    <w:name w:val="heading 1"/>
    <w:basedOn w:val="Norml"/>
    <w:next w:val="Norml"/>
    <w:link w:val="Cmsor1Char"/>
    <w:uiPriority w:val="9"/>
    <w:qFormat/>
    <w:rsid w:val="00F126D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8B40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8B405F"/>
    <w:rPr>
      <w:color w:val="0000FF"/>
      <w:u w:val="single"/>
    </w:rPr>
  </w:style>
  <w:style w:type="paragraph" w:styleId="Listaszerbekezds">
    <w:name w:val="List Paragraph"/>
    <w:basedOn w:val="Norml"/>
    <w:uiPriority w:val="34"/>
    <w:qFormat/>
    <w:rsid w:val="00F126D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F126D9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F126D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Finomhivatkozs">
    <w:name w:val="Subtle Reference"/>
    <w:basedOn w:val="Bekezdsalapbettpusa"/>
    <w:uiPriority w:val="31"/>
    <w:qFormat/>
    <w:rsid w:val="00082081"/>
    <w:rPr>
      <w:smallCaps/>
      <w:color w:val="5A5A5A" w:themeColor="text1" w:themeTint="A5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1304829&amp;pos=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;jsessionid=8F908B40B294BF08878AF8D82AF10379?action=onelong&amp;showtype=longlong&amp;recnum=384890&amp;pos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23225&amp;pos=1" TargetMode="External"/><Relationship Id="rId5" Type="http://schemas.openxmlformats.org/officeDocument/2006/relationships/hyperlink" Target="https://saman.fszek.hu/WebPac/CorvinaWeb?action=onelong&amp;showtype=longlong&amp;recnum=1368454&amp;pos=1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803</Words>
  <Characters>5544</Characters>
  <Application>Microsoft Office Word</Application>
  <DocSecurity>0</DocSecurity>
  <Lines>46</Lines>
  <Paragraphs>12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4</cp:revision>
  <dcterms:created xsi:type="dcterms:W3CDTF">2022-09-20T07:42:00Z</dcterms:created>
  <dcterms:modified xsi:type="dcterms:W3CDTF">2023-03-25T14:03:00Z</dcterms:modified>
</cp:coreProperties>
</file>